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>
      <w:pPr>
        <w:tabs>
          <w:tab w:val="left" w:pos="5985"/>
        </w:tabs>
        <w:rPr>
          <w:b/>
          <w:color w:val="8EAADB"/>
          <w:sz w:val="40"/>
          <w:szCs w:val="40"/>
        </w:rPr>
      </w:pPr>
      <w:r>
        <w:rPr>
          <w:b/>
          <w:color w:val="8EAADB"/>
          <w:sz w:val="40"/>
          <w:szCs w:val="40"/>
        </w:rPr>
        <w:t xml:space="preserve">Governing Board Skills Audit </w:t>
      </w:r>
    </w:p>
    <w:p>
      <w:pPr>
        <w:pBdr>
          <w:top w:val="single" w:sz="24" w:space="1" w:color="D9E2F3"/>
          <w:left w:val="single" w:sz="24" w:space="4" w:color="D9E2F3"/>
          <w:bottom w:val="single" w:sz="24" w:space="1" w:color="D9E2F3"/>
          <w:right w:val="single" w:sz="24" w:space="4" w:color="D9E2F3"/>
        </w:pBdr>
        <w:shd w:val="clear" w:color="auto" w:fill="D9E2F3"/>
        <w:tabs>
          <w:tab w:val="left" w:pos="1170"/>
        </w:tabs>
        <w:spacing w:after="0" w:line="240" w:lineRule="auto"/>
        <w:rPr>
          <w:rFonts w:ascii="Calibri" w:hAnsi="Calibri"/>
          <w:color w:val="1F4E79"/>
        </w:rPr>
      </w:pPr>
      <w:r>
        <w:rPr>
          <w:rFonts w:ascii="Gill Sans" w:eastAsia="Gill Sans" w:hAnsi="Gill Sans" w:cs="Gill Sans"/>
          <w:color w:val="1F4E79"/>
        </w:rPr>
        <w:t xml:space="preserve"> </w:t>
      </w:r>
    </w:p>
    <w:tbl>
      <w:tblPr>
        <w:tblStyle w:val="a"/>
        <w:tblW w:w="1044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500"/>
        <w:gridCol w:w="501"/>
        <w:gridCol w:w="501"/>
        <w:gridCol w:w="501"/>
        <w:gridCol w:w="501"/>
      </w:tblGrid>
      <w:tr>
        <w:trPr>
          <w:trHeight w:val="730"/>
        </w:trPr>
        <w:tc>
          <w:tcPr>
            <w:tcW w:w="7938" w:type="dxa"/>
            <w:shd w:val="clear" w:color="auto" w:fill="8EAADB"/>
            <w:vAlign w:val="center"/>
          </w:tcPr>
          <w:p>
            <w:pPr>
              <w:jc w:val="center"/>
              <w:rPr>
                <w:rFonts w:ascii="Gill Sans" w:eastAsia="Gill Sans" w:hAnsi="Gill Sans" w:cs="Gill Sans"/>
                <w:b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28"/>
                <w:szCs w:val="28"/>
              </w:rPr>
              <w:t>Governing Board Skills Audit</w:t>
            </w:r>
          </w:p>
          <w:p>
            <w:pPr>
              <w:jc w:val="center"/>
              <w:rPr>
                <w:rFonts w:ascii="Gill Sans" w:eastAsia="Gill Sans" w:hAnsi="Gill Sans" w:cs="Gill Sans"/>
                <w:color w:val="FFFFFF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FFFFFF"/>
                <w:sz w:val="24"/>
                <w:szCs w:val="24"/>
              </w:rPr>
              <w:t xml:space="preserve">Governors, trustees &amp; academy committee members of single schools  </w:t>
            </w:r>
          </w:p>
          <w:p>
            <w:pPr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FFFFFF"/>
                <w:sz w:val="24"/>
                <w:szCs w:val="24"/>
              </w:rPr>
              <w:t>Knowledge, experience, skills and behaviours</w:t>
            </w:r>
          </w:p>
        </w:tc>
        <w:tc>
          <w:tcPr>
            <w:tcW w:w="2504" w:type="dxa"/>
            <w:gridSpan w:val="5"/>
            <w:shd w:val="clear" w:color="auto" w:fill="8EAADB"/>
          </w:tcPr>
          <w:p>
            <w:pP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  <w:t>Level of knowledge or skills/behaviour, rate on scale of:</w:t>
            </w:r>
          </w:p>
          <w:p>
            <w:pPr>
              <w:rPr>
                <w:rFonts w:ascii="Gill Sans" w:eastAsia="Gill Sans" w:hAnsi="Gill Sans" w:cs="Gill Sans"/>
                <w:b/>
                <w:color w:val="FFFFFF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  <w:t xml:space="preserve">No     </w:t>
            </w:r>
            <w:r>
              <w:rPr>
                <w:rFonts w:ascii="Wingdings" w:eastAsia="Wingdings" w:hAnsi="Wingdings" w:cs="Wingdings"/>
                <w:color w:val="FFFFFF"/>
                <w:sz w:val="21"/>
                <w:szCs w:val="21"/>
              </w:rPr>
              <w:t>🡪</w:t>
            </w:r>
            <w: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  <w:t xml:space="preserve">     </w:t>
            </w:r>
            <w:r>
              <w:rPr>
                <w:rFonts w:ascii="Wingdings" w:eastAsia="Wingdings" w:hAnsi="Wingdings" w:cs="Wingdings"/>
                <w:color w:val="FFFFFF"/>
                <w:sz w:val="21"/>
                <w:szCs w:val="21"/>
              </w:rPr>
              <w:t>🡪</w:t>
            </w:r>
            <w: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  <w:t xml:space="preserve">      </w:t>
            </w:r>
            <w:r>
              <w:rPr>
                <w:rFonts w:ascii="Wingdings" w:eastAsia="Wingdings" w:hAnsi="Wingdings" w:cs="Wingdings"/>
                <w:color w:val="FFFFFF"/>
                <w:sz w:val="21"/>
                <w:szCs w:val="21"/>
              </w:rPr>
              <w:t>🡪</w:t>
            </w:r>
            <w:r>
              <w:rPr>
                <w:rFonts w:ascii="Gill Sans" w:eastAsia="Gill Sans" w:hAnsi="Gill Sans" w:cs="Gill Sans"/>
                <w:color w:val="FFFFFF"/>
                <w:sz w:val="21"/>
                <w:szCs w:val="21"/>
              </w:rPr>
              <w:t xml:space="preserve">  Yes</w:t>
            </w:r>
          </w:p>
        </w:tc>
      </w:tr>
      <w:tr>
        <w:trPr>
          <w:trHeight w:val="132"/>
        </w:trPr>
        <w:tc>
          <w:tcPr>
            <w:tcW w:w="7938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rFonts w:ascii="Gill Sans" w:eastAsia="Gill Sans" w:hAnsi="Gill Sans" w:cs="Gill Sans"/>
                <w:sz w:val="21"/>
                <w:szCs w:val="21"/>
              </w:rPr>
              <w:t>PARENT Governor Vacancies– Autumn Term 2021</w:t>
            </w:r>
          </w:p>
        </w:tc>
        <w:tc>
          <w:tcPr>
            <w:tcW w:w="500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sz w:val="21"/>
                <w:szCs w:val="21"/>
              </w:rPr>
              <w:t>1</w:t>
            </w:r>
          </w:p>
        </w:tc>
        <w:tc>
          <w:tcPr>
            <w:tcW w:w="501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sz w:val="21"/>
                <w:szCs w:val="21"/>
              </w:rPr>
              <w:t>2</w:t>
            </w:r>
          </w:p>
        </w:tc>
        <w:tc>
          <w:tcPr>
            <w:tcW w:w="501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sz w:val="21"/>
                <w:szCs w:val="21"/>
              </w:rPr>
              <w:t>3</w:t>
            </w:r>
          </w:p>
        </w:tc>
        <w:tc>
          <w:tcPr>
            <w:tcW w:w="501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sz w:val="21"/>
                <w:szCs w:val="21"/>
              </w:rPr>
              <w:t>4</w:t>
            </w:r>
          </w:p>
        </w:tc>
        <w:tc>
          <w:tcPr>
            <w:tcW w:w="501" w:type="dxa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  <w:r>
              <w:rPr>
                <w:rFonts w:ascii="Gill Sans" w:eastAsia="Gill Sans" w:hAnsi="Gill Sans" w:cs="Gill Sans"/>
                <w:sz w:val="21"/>
                <w:szCs w:val="21"/>
              </w:rPr>
              <w:t>5</w:t>
            </w:r>
          </w:p>
        </w:tc>
      </w:tr>
      <w:tr>
        <w:trPr>
          <w:trHeight w:val="194"/>
        </w:trPr>
        <w:tc>
          <w:tcPr>
            <w:tcW w:w="10442" w:type="dxa"/>
            <w:gridSpan w:val="6"/>
            <w:shd w:val="clear" w:color="auto" w:fill="B4C6E7"/>
            <w:vAlign w:val="center"/>
          </w:tcPr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Strategic leadership</w:t>
            </w:r>
          </w:p>
        </w:tc>
      </w:tr>
      <w:tr>
        <w:trPr>
          <w:trHeight w:val="388"/>
        </w:trPr>
        <w:tc>
          <w:tcPr>
            <w:tcW w:w="7938" w:type="dxa"/>
            <w:shd w:val="clear" w:color="auto" w:fill="FFFFFF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am committed to improving education and welfare for all pupils.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</w:tr>
      <w:tr>
        <w:trPr>
          <w:trHeight w:val="248"/>
        </w:trPr>
        <w:tc>
          <w:tcPr>
            <w:tcW w:w="7938" w:type="dxa"/>
            <w:shd w:val="clear" w:color="auto" w:fill="FFFFFF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understand current national education policy and the local education context.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</w:tr>
      <w:tr>
        <w:trPr>
          <w:trHeight w:val="480"/>
        </w:trPr>
        <w:tc>
          <w:tcPr>
            <w:tcW w:w="7938" w:type="dxa"/>
            <w:shd w:val="clear" w:color="auto" w:fill="FFFFFF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 have previous experience of being a board member in another sector or a governor/trustee in another school.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</w:tr>
      <w:tr>
        <w:trPr>
          <w:trHeight w:val="480"/>
        </w:trPr>
        <w:tc>
          <w:tcPr>
            <w:tcW w:w="7938" w:type="dxa"/>
            <w:shd w:val="clear" w:color="auto" w:fill="FFFFFF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have experience of chairing a board/governing board or committee.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strategic planning and applying this to set and preserve the culture of the organisation.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b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committed to the school’s vision and ethos of the trust.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able to question and challenge, working as part of a team to identify viable options through collective decision making.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able to work in a professional manner, avoiding conflicts, acting with transparency and integrity.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confident I can identify when to seek independent/professional advice.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stakeholder management and engagement including communicating with and taking account of the views of parents and pupils.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promoting community cohesion.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proficient in prioritising, assessing and mitigating risk.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school sector risk management, including managing conflicts of interest/loyalty. </w:t>
            </w:r>
          </w:p>
        </w:tc>
        <w:tc>
          <w:tcPr>
            <w:tcW w:w="500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10442" w:type="dxa"/>
            <w:gridSpan w:val="6"/>
            <w:shd w:val="clear" w:color="auto" w:fill="B4C6E7"/>
          </w:tcPr>
          <w:p>
            <w:pPr>
              <w:ind w:left="75"/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2. Accountability</w:t>
            </w: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understand the importance of collecting high quality data and have expertise using data to interpret/evaluate performance and identify trends to target improvement.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expertise in curriculum development, school assessment and progress/attainment.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working with leaders to establish expectations for improvement and outcomes.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agreeing the range and format of information and data needed in order to hold leaders to account.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providing challenge to leaders on strategies for monitoring and improving behaviour and safety.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an understanding of the board’s duties in relation to safeguarding including Prevent.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an understanding of special education needs and disabilities (SEND).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 have financial management expertise, with experience of funding allocation/budget monitoring and contributing to financial self-evaluation and efficiency drives.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basing funding decisions on organisational priorities and the ability to interpret financial data and question financial performance against strategic priorities.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procurement/purchasing.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property and estate-management.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HR policy and processes, including employment legislation, recruitment, performance management and pay.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school sector HR policy and processes.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experience of change management (overseeing a merger or an organisational restructure).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preparing for and responding to external oversight. 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inspection and oversight in the school sector.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10442" w:type="dxa"/>
            <w:gridSpan w:val="6"/>
            <w:shd w:val="clear" w:color="auto" w:fill="B4C6E7"/>
          </w:tcPr>
          <w:p>
            <w:pPr>
              <w:ind w:left="75"/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3. People</w:t>
            </w: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willing to devote time, enthusiasm and effort to the duties of and responsibilities of a governor/trustee.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a strong communicator and committed to building strong collaborative relationships.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able to discuss sensitive issues with experience of conflict resolution and influencing consensus.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able to demonstrate a commitment to ethical behaviour and values, honesty, independence of thought and sound judgement.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committed to equal opportunities and the promotion of diversity.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willing to reflect, listen and learn from a diversity of views, to receive and provide feedback and accept impartial advice.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10442" w:type="dxa"/>
            <w:gridSpan w:val="6"/>
            <w:shd w:val="clear" w:color="auto" w:fill="B4C6E7"/>
          </w:tcPr>
          <w:p>
            <w:pPr>
              <w:ind w:left="75"/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4. Structures</w:t>
            </w:r>
          </w:p>
        </w:tc>
      </w:tr>
      <w:tr>
        <w:trPr>
          <w:trHeight w:val="567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familiar with the strategic nature of the board’s functions and how this differs from and works with others including senior leaders.  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reviewing governance structures.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10442" w:type="dxa"/>
            <w:gridSpan w:val="6"/>
            <w:shd w:val="clear" w:color="auto" w:fill="B4C6E7"/>
          </w:tcPr>
          <w:p>
            <w:pPr>
              <w:ind w:left="75"/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5. Compliance</w:t>
            </w: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experience of complying with legal, regulatory and financial frameworks and statutory guidance.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403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understand and accept the legal duties, responsibilities of a governor/trustee.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403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Governing boards are responsible for ensuring schools comply with a whole range of legal responsibilities. I have experience ensuring legal compliance in this way and a commitment to understanding the full range of legal responsibilities. 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understand the importance of adhering to organisation policies e.g. on parental complaints or staff-discipline issues.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2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the confidence and ability to speak up when concerned about non-compliance. 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10442" w:type="dxa"/>
            <w:gridSpan w:val="6"/>
            <w:shd w:val="clear" w:color="auto" w:fill="B4C6E7"/>
          </w:tcPr>
          <w:p>
            <w:pPr>
              <w:ind w:left="75"/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6. Evaluation</w:t>
            </w: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am aware of my own strengths and weaknesses and committed to personal development.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  <w:tr>
        <w:trPr>
          <w:trHeight w:val="139"/>
        </w:trPr>
        <w:tc>
          <w:tcPr>
            <w:tcW w:w="7938" w:type="dxa"/>
            <w:shd w:val="clear" w:color="auto" w:fill="FFFFFF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I have experience of evaluating board decisions and am willing to contribute to board self-review.  </w:t>
            </w:r>
          </w:p>
        </w:tc>
        <w:tc>
          <w:tcPr>
            <w:tcW w:w="500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/>
          </w:tcPr>
          <w:p>
            <w:pPr>
              <w:rPr>
                <w:rFonts w:ascii="Gill Sans" w:eastAsia="Gill Sans" w:hAnsi="Gill Sans" w:cs="Gill Sans"/>
                <w:sz w:val="21"/>
                <w:szCs w:val="21"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color w:val="000000"/>
        </w:rPr>
      </w:pPr>
    </w:p>
    <w:p>
      <w:pPr>
        <w:spacing w:after="0" w:line="240" w:lineRule="auto"/>
        <w:rPr>
          <w:rFonts w:ascii="Calibri" w:hAnsi="Calibri"/>
          <w:color w:val="000000"/>
        </w:rPr>
      </w:pPr>
    </w:p>
    <w:p>
      <w:pPr>
        <w:spacing w:after="0" w:line="240" w:lineRule="auto"/>
        <w:rPr>
          <w:b/>
        </w:rPr>
      </w:pPr>
      <w:r>
        <w:rPr>
          <w:b/>
        </w:rPr>
        <w:t xml:space="preserve">Signed:                                                        Print Name:                                                                    Date:         </w:t>
      </w:r>
    </w:p>
    <w:p>
      <w:pPr>
        <w:spacing w:after="0" w:line="240" w:lineRule="auto"/>
      </w:pPr>
    </w:p>
    <w:sectPr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w:drawing>
        <wp:inline distT="0" distB="0" distL="0" distR="0">
          <wp:extent cx="6119878" cy="91432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color w:val="000000"/>
        <w:sz w:val="18"/>
        <w:szCs w:val="18"/>
      </w:rPr>
      <w:t xml:space="preserve">NGA Skills Audit 2017   </w:t>
    </w:r>
    <w:r>
      <w:rPr>
        <w:rFonts w:ascii="Calibri" w:hAnsi="Calibri"/>
        <w:color w:val="000000"/>
        <w:sz w:val="18"/>
        <w:szCs w:val="18"/>
      </w:rPr>
      <w:t>© National Governors’ Association 2016</w:t>
    </w:r>
    <w:r>
      <w:rPr>
        <w:rFonts w:ascii="Calibri" w:hAnsi="Calibri"/>
        <w:color w:val="000000"/>
        <w:sz w:val="18"/>
        <w:szCs w:val="18"/>
      </w:rPr>
      <w:tab/>
    </w:r>
    <w:r>
      <w:rPr>
        <w:rFonts w:ascii="Calibri" w:hAnsi="Calibri"/>
        <w:color w:val="000000"/>
        <w:sz w:val="18"/>
        <w:szCs w:val="18"/>
      </w:rPr>
      <w:tab/>
    </w:r>
    <w:r>
      <w:rPr>
        <w:rFonts w:ascii="Calibri" w:hAnsi="Calibri"/>
        <w:color w:val="000000"/>
        <w:sz w:val="18"/>
        <w:szCs w:val="18"/>
      </w:rPr>
      <w:tab/>
      <w:t xml:space="preserve">  </w:t>
    </w:r>
    <w:r>
      <w:rPr>
        <w:rFonts w:ascii="Calibri" w:hAnsi="Calibri"/>
        <w:color w:val="000000"/>
        <w:sz w:val="18"/>
        <w:szCs w:val="18"/>
      </w:rPr>
      <w:fldChar w:fldCharType="begin"/>
    </w:r>
    <w:r>
      <w:rPr>
        <w:rFonts w:ascii="Calibri" w:hAnsi="Calibri"/>
        <w:color w:val="000000"/>
        <w:sz w:val="18"/>
        <w:szCs w:val="18"/>
      </w:rPr>
      <w:instrText>PAGE</w:instrText>
    </w:r>
    <w:r>
      <w:rPr>
        <w:rFonts w:ascii="Calibri" w:hAnsi="Calibri"/>
        <w:color w:val="000000"/>
        <w:sz w:val="18"/>
        <w:szCs w:val="18"/>
      </w:rPr>
      <w:fldChar w:fldCharType="separate"/>
    </w:r>
    <w:r>
      <w:rPr>
        <w:rFonts w:ascii="Calibri" w:hAnsi="Calibri"/>
        <w:noProof/>
        <w:color w:val="000000"/>
        <w:sz w:val="18"/>
        <w:szCs w:val="18"/>
      </w:rPr>
      <w:t>2</w:t>
    </w:r>
    <w:r>
      <w:rPr>
        <w:rFonts w:ascii="Calibri" w:hAnsi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w:drawing>
        <wp:inline distT="0" distB="0" distL="0" distR="0">
          <wp:extent cx="6119878" cy="91432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  <w:sz w:val="10"/>
        <w:szCs w:val="10"/>
      </w:rPr>
    </w:pPr>
    <w:r>
      <w:rPr>
        <w:rFonts w:ascii="Calibri" w:hAnsi="Calibri"/>
        <w:color w:val="000000"/>
        <w:sz w:val="10"/>
        <w:szCs w:val="10"/>
      </w:rPr>
      <w:br/>
    </w:r>
    <w:r>
      <w:rPr>
        <w:rFonts w:ascii="Calibri" w:hAnsi="Calibri"/>
        <w:color w:val="000000"/>
        <w:sz w:val="18"/>
        <w:szCs w:val="18"/>
      </w:rPr>
      <w:t>© National Governors’ Association 2017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4765766</wp:posOffset>
          </wp:positionH>
          <wp:positionV relativeFrom="paragraph">
            <wp:posOffset>10432</wp:posOffset>
          </wp:positionV>
          <wp:extent cx="1304925" cy="219075"/>
          <wp:effectExtent l="0" t="0" r="0" b="0"/>
          <wp:wrapSquare wrapText="bothSides" distT="0" distB="0" distL="0" distR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r="22024"/>
                  <a:stretch>
                    <a:fillRect/>
                  </a:stretch>
                </pic:blipFill>
                <pic:spPr>
                  <a:xfrm>
                    <a:off x="0" y="0"/>
                    <a:ext cx="130492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>
    <w:pPr>
      <w:spacing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inline distT="0" distB="0" distL="0" distR="0">
          <wp:extent cx="6119878" cy="658314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78" cy="658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073"/>
    <w:multiLevelType w:val="multilevel"/>
    <w:tmpl w:val="819A847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7EFF8-17A8-4D7C-90CC-CEF6640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Theme="majorEastAsia" w:hAnsi="Calibri Light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Theme="majorEastAsia" w:hAnsi="Calibri Light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customStyle="1" w:styleId="secondarycontent-smallcaps">
    <w:name w:val="secondarycontent-smallcaps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rPr>
      <w:rFonts w:ascii="Calibri" w:hAnsi="Calibri"/>
      <w:b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Theme="minorEastAsia" w:hAnsi="Calibri"/>
      <w:b/>
      <w:color w:val="000000" w:themeColor="text1"/>
      <w:spacing w:val="15"/>
      <w:sz w:val="32"/>
    </w:rPr>
  </w:style>
  <w:style w:type="character" w:styleId="SubtleEmphasis">
    <w:name w:val="Subtle Emphasis"/>
    <w:aliases w:val="Author"/>
    <w:basedOn w:val="DefaultParagraphFont"/>
    <w:uiPriority w:val="19"/>
    <w:qFormat/>
    <w:rPr>
      <w:rFonts w:ascii="Calibri Light" w:hAnsi="Calibri Light"/>
      <w:i w:val="0"/>
      <w:iCs/>
      <w:color w:val="404040" w:themeColor="text1" w:themeTint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GB"/>
    </w:rPr>
  </w:style>
  <w:style w:type="character" w:customStyle="1" w:styleId="highlight">
    <w:name w:val="highlight"/>
    <w:basedOn w:val="DefaultParagraphFont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CFFbrWVsA8TKux660nxo6yFgQ==">AMUW2mU3xAPpyzvk9VqxNBsO3b6/WNbmCDMzGh7u27P7B68zfUqI5Szcgb6VtvxFxzNEFfWuJCFBRXdew4bdvpQTGWHlw2+GAGLqqGX9j+Ja+sNyt0vo8wol9LbY1zxbAHvbhDZJilQp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Lydia Dabbs</cp:lastModifiedBy>
  <cp:revision>2</cp:revision>
  <cp:lastPrinted>2021-09-07T07:08:00Z</cp:lastPrinted>
  <dcterms:created xsi:type="dcterms:W3CDTF">2021-09-07T07:08:00Z</dcterms:created>
  <dcterms:modified xsi:type="dcterms:W3CDTF">2021-09-07T07:08:00Z</dcterms:modified>
</cp:coreProperties>
</file>